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8C" w:rsidRPr="002E7F65" w:rsidRDefault="0023048C" w:rsidP="002300EA">
      <w:pPr>
        <w:rPr>
          <w:rFonts w:ascii="Times New Roman" w:hAnsi="Times New Roman"/>
          <w:sz w:val="16"/>
          <w:szCs w:val="16"/>
        </w:rPr>
      </w:pPr>
    </w:p>
    <w:p w:rsidR="00934543" w:rsidRDefault="0023048C" w:rsidP="00162C8A">
      <w:pPr>
        <w:ind w:left="993" w:hanging="993"/>
        <w:rPr>
          <w:rFonts w:ascii="Times New Roman" w:hAnsi="Times New Roman"/>
          <w:color w:val="C00000"/>
          <w:sz w:val="24"/>
          <w:szCs w:val="24"/>
        </w:rPr>
      </w:pPr>
      <w:r w:rsidRPr="0049374B">
        <w:rPr>
          <w:rFonts w:ascii="Times New Roman" w:hAnsi="Times New Roman"/>
          <w:b/>
          <w:sz w:val="32"/>
          <w:szCs w:val="32"/>
        </w:rPr>
        <w:t>Temat</w:t>
      </w:r>
      <w:r w:rsidR="005D7788" w:rsidRPr="0049374B">
        <w:rPr>
          <w:rFonts w:ascii="Times New Roman" w:hAnsi="Times New Roman"/>
          <w:b/>
          <w:sz w:val="32"/>
          <w:szCs w:val="32"/>
        </w:rPr>
        <w:t>:</w:t>
      </w:r>
      <w:r w:rsidR="005D7788">
        <w:rPr>
          <w:rFonts w:ascii="Times New Roman" w:hAnsi="Times New Roman"/>
          <w:sz w:val="32"/>
          <w:szCs w:val="32"/>
        </w:rPr>
        <w:t xml:space="preserve"> </w:t>
      </w:r>
      <w:r w:rsidR="00060AC0" w:rsidRPr="0049374B">
        <w:rPr>
          <w:rFonts w:ascii="Times New Roman" w:hAnsi="Times New Roman"/>
          <w:b/>
          <w:sz w:val="32"/>
          <w:szCs w:val="32"/>
          <w:highlight w:val="lightGray"/>
        </w:rPr>
        <w:t>Romantyczny dramat pełen zagadek.</w:t>
      </w:r>
      <w:r w:rsidR="00934543" w:rsidRPr="0049374B">
        <w:rPr>
          <w:rFonts w:ascii="Times New Roman" w:hAnsi="Times New Roman"/>
          <w:b/>
          <w:sz w:val="32"/>
          <w:szCs w:val="32"/>
          <w:highlight w:val="lightGray"/>
        </w:rPr>
        <w:t xml:space="preserve"> Najważniejsze motywy literackie.</w:t>
      </w:r>
    </w:p>
    <w:p w:rsidR="00EB1AA7" w:rsidRDefault="00EB1AA7" w:rsidP="00EB1AA7">
      <w:pPr>
        <w:rPr>
          <w:rFonts w:ascii="Times New Roman" w:hAnsi="Times New Roman"/>
          <w:sz w:val="32"/>
          <w:szCs w:val="32"/>
        </w:rPr>
      </w:pPr>
    </w:p>
    <w:p w:rsidR="000D6F48" w:rsidRPr="0049374B" w:rsidRDefault="000D6F48" w:rsidP="00162C8A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  <w:highlight w:val="lightGray"/>
        </w:rPr>
      </w:pPr>
      <w:r w:rsidRPr="0049374B">
        <w:rPr>
          <w:rFonts w:ascii="Times New Roman" w:hAnsi="Times New Roman"/>
          <w:b/>
          <w:sz w:val="24"/>
          <w:szCs w:val="24"/>
          <w:highlight w:val="lightGray"/>
        </w:rPr>
        <w:t>Wiersz „Upiór” na początku „Dziadów cz. II”</w:t>
      </w:r>
      <w:r w:rsidR="00162C8A" w:rsidRPr="0049374B">
        <w:rPr>
          <w:rFonts w:ascii="Times New Roman" w:hAnsi="Times New Roman"/>
          <w:b/>
          <w:sz w:val="24"/>
          <w:szCs w:val="24"/>
          <w:highlight w:val="lightGray"/>
        </w:rPr>
        <w:t xml:space="preserve"> – wyjaśnienie.</w:t>
      </w:r>
    </w:p>
    <w:p w:rsidR="0049374B" w:rsidRDefault="0049374B" w:rsidP="00312E98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0D6F48" w:rsidRDefault="000D6F48" w:rsidP="0049374B">
      <w:pPr>
        <w:pStyle w:val="Akapitzlist"/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„Dziady cz. II” poprzedzone zostały balladowym wierszem „Upiór”, opowiadającym historię nieszczęśliwej miłości i samobójczej śmierci młodego człowieka. Ta historia nawiązuje do ludowej demonologii, według której samobójca staje się upiorem, nie może dostać się do nieba, ponieważ dopuścił się śmiertelnego grzechu</w:t>
      </w:r>
      <w:r w:rsidR="00162C8A">
        <w:rPr>
          <w:rFonts w:ascii="Times New Roman" w:hAnsi="Times New Roman"/>
          <w:sz w:val="24"/>
          <w:szCs w:val="24"/>
        </w:rPr>
        <w:t>. Karą za samobójstwo jest konieczność wracania na ziemię, bycia pośród ludzi i ponowne przeżywanie tragedii, która doprowadziła do targnięci się na własne życie. Jako Upiór cierpi katusze i męki. Upiór z</w:t>
      </w:r>
      <w:r w:rsidR="0049374B">
        <w:rPr>
          <w:rFonts w:ascii="Times New Roman" w:hAnsi="Times New Roman"/>
          <w:sz w:val="24"/>
          <w:szCs w:val="24"/>
        </w:rPr>
        <w:t> </w:t>
      </w:r>
      <w:r w:rsidR="00162C8A">
        <w:rPr>
          <w:rFonts w:ascii="Times New Roman" w:hAnsi="Times New Roman"/>
          <w:sz w:val="24"/>
          <w:szCs w:val="24"/>
        </w:rPr>
        <w:t>„Dziadów cz. II” co rok w Zaduszki wstaje z grobu i szuka kobiety, którą kochał. Pragnie, by poświęciła mu godzinę i wysłuchała jego mowy. Następnie popełnia samobójstwo i z zakrwawioną piersią wraca do grobu, by zasnąć na kolejny rok.</w:t>
      </w:r>
    </w:p>
    <w:p w:rsidR="0049374B" w:rsidRDefault="0049374B" w:rsidP="00312E98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12E98" w:rsidRPr="000D6F48" w:rsidRDefault="00312E98" w:rsidP="000D6F48">
      <w:pPr>
        <w:pStyle w:val="Akapitzlist"/>
        <w:rPr>
          <w:rFonts w:ascii="Times New Roman" w:hAnsi="Times New Roman"/>
          <w:sz w:val="24"/>
          <w:szCs w:val="24"/>
        </w:rPr>
      </w:pPr>
    </w:p>
    <w:p w:rsidR="00060AC0" w:rsidRPr="0049374B" w:rsidRDefault="00060AC0" w:rsidP="00162C8A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  <w:highlight w:val="lightGray"/>
        </w:rPr>
      </w:pPr>
      <w:r w:rsidRPr="0049374B">
        <w:rPr>
          <w:rFonts w:ascii="Times New Roman" w:hAnsi="Times New Roman"/>
          <w:b/>
          <w:sz w:val="24"/>
          <w:szCs w:val="24"/>
          <w:highlight w:val="lightGray"/>
        </w:rPr>
        <w:t xml:space="preserve">Plan wydarzeń </w:t>
      </w:r>
      <w:r w:rsidR="000D6F48" w:rsidRPr="0049374B">
        <w:rPr>
          <w:rFonts w:ascii="Times New Roman" w:hAnsi="Times New Roman"/>
          <w:b/>
          <w:sz w:val="24"/>
          <w:szCs w:val="24"/>
          <w:highlight w:val="lightGray"/>
        </w:rPr>
        <w:t>– ćwiczenia redakcyjne</w:t>
      </w:r>
    </w:p>
    <w:p w:rsidR="000D6F48" w:rsidRPr="000D6F48" w:rsidRDefault="000D6F48" w:rsidP="00312E98">
      <w:pPr>
        <w:pStyle w:val="Akapitzlist"/>
        <w:ind w:hanging="436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Wykorzystaj odpowiednie bezokoliczniki i zredaguj plan wydarzeń w „Dziadach cz. II”.</w:t>
      </w:r>
    </w:p>
    <w:p w:rsidR="000D6F48" w:rsidRPr="000D6F48" w:rsidRDefault="000D6F48" w:rsidP="00312E98">
      <w:pPr>
        <w:pStyle w:val="Akapitzlist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Od bezokoliczników utwórz rzeczowniki odczasownikowe i na ich fundamencie skonstruuj plan. Niektóre wyrazy możesz użyć kilkakrotnie.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</w:p>
    <w:p w:rsidR="000D6F48" w:rsidRPr="000D6F48" w:rsidRDefault="00312E9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312E98">
        <w:rPr>
          <w:rFonts w:ascii="Times New Roman" w:hAnsi="Times New Roman"/>
          <w:i/>
          <w:color w:val="003300"/>
          <w:sz w:val="24"/>
          <w:szCs w:val="24"/>
        </w:rPr>
        <w:t>Przykład:</w:t>
      </w:r>
      <w:r>
        <w:rPr>
          <w:rFonts w:ascii="Times New Roman" w:hAnsi="Times New Roman"/>
          <w:sz w:val="24"/>
          <w:szCs w:val="24"/>
        </w:rPr>
        <w:t xml:space="preserve"> </w:t>
      </w:r>
      <w:r w:rsidR="000D6F48" w:rsidRPr="000D6F48">
        <w:rPr>
          <w:rFonts w:ascii="Times New Roman" w:hAnsi="Times New Roman"/>
          <w:sz w:val="24"/>
          <w:szCs w:val="24"/>
        </w:rPr>
        <w:t xml:space="preserve">rozpocząć </w:t>
      </w:r>
      <w:r>
        <w:rPr>
          <w:rFonts w:ascii="Times New Roman" w:hAnsi="Times New Roman"/>
          <w:sz w:val="24"/>
          <w:szCs w:val="24"/>
        </w:rPr>
        <w:t>―</w:t>
      </w:r>
      <w:r w:rsidR="000D6F48" w:rsidRPr="000D6F48">
        <w:rPr>
          <w:rFonts w:ascii="Times New Roman" w:hAnsi="Times New Roman"/>
          <w:sz w:val="24"/>
          <w:szCs w:val="24"/>
        </w:rPr>
        <w:t xml:space="preserve"> rozpoczęcie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wezwać</w:t>
      </w:r>
      <w:r w:rsidR="00312E98">
        <w:rPr>
          <w:rFonts w:ascii="Times New Roman" w:hAnsi="Times New Roman"/>
          <w:sz w:val="24"/>
          <w:szCs w:val="24"/>
        </w:rPr>
        <w:t xml:space="preserve"> ―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pouczyć</w:t>
      </w:r>
      <w:r w:rsidR="00312E98">
        <w:rPr>
          <w:rFonts w:ascii="Times New Roman" w:hAnsi="Times New Roman"/>
          <w:sz w:val="24"/>
          <w:szCs w:val="24"/>
        </w:rPr>
        <w:t xml:space="preserve"> ―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opowiadać</w:t>
      </w:r>
      <w:r w:rsidR="00312E98">
        <w:rPr>
          <w:rFonts w:ascii="Times New Roman" w:hAnsi="Times New Roman"/>
          <w:sz w:val="24"/>
          <w:szCs w:val="24"/>
        </w:rPr>
        <w:t xml:space="preserve"> ―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 xml:space="preserve">przestrzec </w:t>
      </w:r>
      <w:r w:rsidR="00312E98">
        <w:rPr>
          <w:rFonts w:ascii="Times New Roman" w:hAnsi="Times New Roman"/>
          <w:sz w:val="24"/>
          <w:szCs w:val="24"/>
        </w:rPr>
        <w:t xml:space="preserve">― </w:t>
      </w:r>
      <w:r w:rsidRPr="000D6F48">
        <w:rPr>
          <w:rFonts w:ascii="Times New Roman" w:hAnsi="Times New Roman"/>
          <w:sz w:val="24"/>
          <w:szCs w:val="24"/>
        </w:rPr>
        <w:t>przestroga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wywołać</w:t>
      </w:r>
      <w:r w:rsidR="00312E98">
        <w:rPr>
          <w:rFonts w:ascii="Times New Roman" w:hAnsi="Times New Roman"/>
          <w:sz w:val="24"/>
          <w:szCs w:val="24"/>
        </w:rPr>
        <w:t xml:space="preserve"> ― 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zakończyć</w:t>
      </w:r>
      <w:r w:rsidR="00312E98">
        <w:rPr>
          <w:rFonts w:ascii="Times New Roman" w:hAnsi="Times New Roman"/>
          <w:sz w:val="24"/>
          <w:szCs w:val="24"/>
        </w:rPr>
        <w:t xml:space="preserve"> ―</w:t>
      </w:r>
      <w:r w:rsidRPr="000D6F48">
        <w:rPr>
          <w:rFonts w:ascii="Times New Roman" w:hAnsi="Times New Roman"/>
          <w:sz w:val="24"/>
          <w:szCs w:val="24"/>
        </w:rPr>
        <w:t xml:space="preserve"> 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 xml:space="preserve">wyprowadzić </w:t>
      </w:r>
      <w:r w:rsidR="00312E98">
        <w:rPr>
          <w:rFonts w:ascii="Times New Roman" w:hAnsi="Times New Roman"/>
          <w:sz w:val="24"/>
          <w:szCs w:val="24"/>
        </w:rPr>
        <w:t xml:space="preserve"> ―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 xml:space="preserve">podążyć </w:t>
      </w:r>
      <w:r w:rsidR="00312E98">
        <w:rPr>
          <w:rFonts w:ascii="Times New Roman" w:hAnsi="Times New Roman"/>
          <w:sz w:val="24"/>
          <w:szCs w:val="24"/>
        </w:rPr>
        <w:t>―</w:t>
      </w:r>
    </w:p>
    <w:p w:rsidR="000D6F48" w:rsidRPr="000D6F48" w:rsidRDefault="000D6F48" w:rsidP="00060AC0">
      <w:pPr>
        <w:pStyle w:val="Akapitzlist"/>
        <w:rPr>
          <w:rFonts w:ascii="Times New Roman" w:hAnsi="Times New Roman"/>
          <w:sz w:val="24"/>
          <w:szCs w:val="24"/>
        </w:rPr>
      </w:pPr>
    </w:p>
    <w:p w:rsidR="00060AC0" w:rsidRPr="0049374B" w:rsidRDefault="0049374B" w:rsidP="0049374B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9374B">
        <w:rPr>
          <w:rFonts w:ascii="Times New Roman" w:hAnsi="Times New Roman"/>
          <w:b/>
          <w:sz w:val="24"/>
          <w:szCs w:val="24"/>
          <w:highlight w:val="lightGray"/>
        </w:rPr>
        <w:t>Zredaguj streszczenie.</w:t>
      </w:r>
      <w:r w:rsidRPr="0049374B">
        <w:rPr>
          <w:rFonts w:ascii="Times New Roman" w:hAnsi="Times New Roman"/>
          <w:sz w:val="24"/>
          <w:szCs w:val="24"/>
        </w:rPr>
        <w:t xml:space="preserve"> </w:t>
      </w:r>
      <w:r w:rsidR="00162C8A" w:rsidRPr="0049374B">
        <w:rPr>
          <w:rFonts w:ascii="Times New Roman" w:hAnsi="Times New Roman"/>
          <w:sz w:val="24"/>
          <w:szCs w:val="24"/>
        </w:rPr>
        <w:t xml:space="preserve">Wykorzystaj ćwiczenie nr 2 do napisania </w:t>
      </w:r>
      <w:r w:rsidR="00162C8A" w:rsidRPr="0049374B">
        <w:rPr>
          <w:rFonts w:ascii="Times New Roman" w:hAnsi="Times New Roman"/>
          <w:color w:val="FF0000"/>
          <w:sz w:val="24"/>
          <w:szCs w:val="24"/>
        </w:rPr>
        <w:t>streszczeni</w:t>
      </w:r>
      <w:r w:rsidR="00312E98" w:rsidRPr="0049374B">
        <w:rPr>
          <w:rFonts w:ascii="Times New Roman" w:hAnsi="Times New Roman"/>
          <w:color w:val="FF0000"/>
          <w:sz w:val="24"/>
          <w:szCs w:val="24"/>
        </w:rPr>
        <w:t>a</w:t>
      </w:r>
      <w:r w:rsidR="00B64BE7">
        <w:rPr>
          <w:rFonts w:ascii="Times New Roman" w:hAnsi="Times New Roman"/>
          <w:color w:val="FF0000"/>
          <w:sz w:val="24"/>
          <w:szCs w:val="24"/>
        </w:rPr>
        <w:t>, które składać się będzie</w:t>
      </w:r>
      <w:r w:rsidR="00162C8A" w:rsidRPr="0049374B">
        <w:rPr>
          <w:rFonts w:ascii="Times New Roman" w:hAnsi="Times New Roman"/>
          <w:color w:val="FF0000"/>
          <w:sz w:val="24"/>
          <w:szCs w:val="24"/>
        </w:rPr>
        <w:t xml:space="preserve"> maksymalnie z</w:t>
      </w:r>
      <w:r w:rsidR="00060AC0" w:rsidRPr="0049374B">
        <w:rPr>
          <w:rFonts w:ascii="Times New Roman" w:hAnsi="Times New Roman"/>
          <w:color w:val="FF0000"/>
          <w:sz w:val="24"/>
          <w:szCs w:val="24"/>
        </w:rPr>
        <w:t xml:space="preserve"> 15 zdań</w:t>
      </w:r>
      <w:r w:rsidR="00162C8A" w:rsidRPr="0049374B">
        <w:rPr>
          <w:rFonts w:ascii="Times New Roman" w:hAnsi="Times New Roman"/>
          <w:sz w:val="24"/>
          <w:szCs w:val="24"/>
        </w:rPr>
        <w:t xml:space="preserve">. </w:t>
      </w:r>
      <w:r w:rsidR="00312E98" w:rsidRPr="0049374B">
        <w:rPr>
          <w:rFonts w:ascii="Times New Roman" w:hAnsi="Times New Roman"/>
          <w:sz w:val="24"/>
          <w:szCs w:val="24"/>
        </w:rPr>
        <w:t>Przypominam, że streszczenie „lubi” zdania, w</w:t>
      </w:r>
      <w:r w:rsidR="00B64BE7">
        <w:rPr>
          <w:rFonts w:ascii="Times New Roman" w:hAnsi="Times New Roman"/>
          <w:sz w:val="24"/>
          <w:szCs w:val="24"/>
        </w:rPr>
        <w:t> </w:t>
      </w:r>
      <w:r w:rsidR="00312E98" w:rsidRPr="0049374B">
        <w:rPr>
          <w:rFonts w:ascii="Times New Roman" w:hAnsi="Times New Roman"/>
          <w:sz w:val="24"/>
          <w:szCs w:val="24"/>
        </w:rPr>
        <w:t xml:space="preserve">których zawrzesz kilka informacji i będą to najczęściej zdanie złożone. </w:t>
      </w:r>
    </w:p>
    <w:p w:rsidR="00162C8A" w:rsidRDefault="00162C8A" w:rsidP="00162C8A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49374B" w:rsidRPr="000D6F48" w:rsidRDefault="0049374B" w:rsidP="00162C8A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6C0B94" w:rsidRPr="0049374B" w:rsidRDefault="006C0B94" w:rsidP="00162C8A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  <w:highlight w:val="lightGray"/>
        </w:rPr>
      </w:pPr>
      <w:r w:rsidRPr="0049374B">
        <w:rPr>
          <w:rFonts w:ascii="Times New Roman" w:hAnsi="Times New Roman"/>
          <w:b/>
          <w:sz w:val="24"/>
          <w:szCs w:val="24"/>
          <w:highlight w:val="lightGray"/>
        </w:rPr>
        <w:lastRenderedPageBreak/>
        <w:t>Świat chrześcijański i świat pogański w utworze.</w:t>
      </w:r>
    </w:p>
    <w:p w:rsidR="006C0B94" w:rsidRPr="006C0B94" w:rsidRDefault="006C0B94" w:rsidP="006C0B94">
      <w:pPr>
        <w:pStyle w:val="Akapitzlist"/>
        <w:rPr>
          <w:rFonts w:ascii="Times New Roman" w:hAnsi="Times New Roman"/>
          <w:sz w:val="24"/>
          <w:szCs w:val="24"/>
        </w:rPr>
      </w:pPr>
    </w:p>
    <w:p w:rsidR="006C0B94" w:rsidRPr="00A874A1" w:rsidRDefault="006C0B94" w:rsidP="006C0B94">
      <w:pPr>
        <w:pStyle w:val="Akapitzlist"/>
        <w:ind w:left="284"/>
        <w:rPr>
          <w:rFonts w:ascii="Times New Roman" w:hAnsi="Times New Roman"/>
          <w:b/>
          <w:sz w:val="24"/>
          <w:szCs w:val="24"/>
        </w:rPr>
      </w:pPr>
      <w:r w:rsidRPr="00A874A1">
        <w:rPr>
          <w:rFonts w:ascii="Times New Roman" w:hAnsi="Times New Roman"/>
          <w:b/>
          <w:sz w:val="24"/>
          <w:szCs w:val="24"/>
          <w:highlight w:val="cyan"/>
        </w:rPr>
        <w:t>Elementy chrześcijańskie:</w:t>
      </w:r>
    </w:p>
    <w:p w:rsidR="006C0B94" w:rsidRDefault="006C0B94" w:rsidP="006C0B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akcji ― Zaduszki.</w:t>
      </w:r>
    </w:p>
    <w:p w:rsidR="006C0B94" w:rsidRDefault="006C0B94" w:rsidP="006C0B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Posługiwanie się krzyżem i znakiem krzyża oraz modlitwą chrześcijańską.</w:t>
      </w:r>
    </w:p>
    <w:p w:rsidR="006C0B94" w:rsidRDefault="00A874A1" w:rsidP="006C0B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Modlitwa za zmarłych, wiara w to, że </w:t>
      </w:r>
      <w:r w:rsidR="00B64BE7">
        <w:rPr>
          <w:rFonts w:ascii="Times New Roman" w:hAnsi="Times New Roman"/>
          <w:sz w:val="24"/>
          <w:szCs w:val="24"/>
        </w:rPr>
        <w:t>modlitwa może pomóc duszom. Odwo</w:t>
      </w:r>
      <w:r>
        <w:rPr>
          <w:rFonts w:ascii="Times New Roman" w:hAnsi="Times New Roman"/>
          <w:sz w:val="24"/>
          <w:szCs w:val="24"/>
        </w:rPr>
        <w:t>ływanie się do chrześcijańskiego Boga.</w:t>
      </w:r>
    </w:p>
    <w:p w:rsidR="00A874A1" w:rsidRDefault="00B64BE7" w:rsidP="006C0B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Moralność</w:t>
      </w:r>
      <w:r w:rsidR="00A874A1">
        <w:rPr>
          <w:rFonts w:ascii="Times New Roman" w:hAnsi="Times New Roman"/>
          <w:sz w:val="24"/>
          <w:szCs w:val="24"/>
        </w:rPr>
        <w:t xml:space="preserve"> chrześcijańska –</w:t>
      </w:r>
      <w:r>
        <w:rPr>
          <w:rFonts w:ascii="Times New Roman" w:hAnsi="Times New Roman"/>
          <w:sz w:val="24"/>
          <w:szCs w:val="24"/>
        </w:rPr>
        <w:t xml:space="preserve"> za dobre uczynki dusze trafiają</w:t>
      </w:r>
      <w:r w:rsidR="00A874A1">
        <w:rPr>
          <w:rFonts w:ascii="Times New Roman" w:hAnsi="Times New Roman"/>
          <w:sz w:val="24"/>
          <w:szCs w:val="24"/>
        </w:rPr>
        <w:t xml:space="preserve"> do nieba, a za złe – do piekła.</w:t>
      </w:r>
    </w:p>
    <w:p w:rsidR="00A874A1" w:rsidRDefault="00A874A1" w:rsidP="006C0B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Istnienie grzechu śmiertelnego i piekła.</w:t>
      </w:r>
    </w:p>
    <w:p w:rsidR="00A874A1" w:rsidRDefault="00A874A1" w:rsidP="006C0B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Wiara w istnienie czyśćca.</w:t>
      </w:r>
    </w:p>
    <w:p w:rsidR="00A874A1" w:rsidRDefault="00A874A1" w:rsidP="00A874A1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A874A1" w:rsidRPr="00A874A1" w:rsidRDefault="00A874A1" w:rsidP="00A874A1">
      <w:pPr>
        <w:pStyle w:val="Akapitzlist"/>
        <w:ind w:left="284"/>
        <w:rPr>
          <w:rFonts w:ascii="Times New Roman" w:hAnsi="Times New Roman"/>
          <w:b/>
          <w:sz w:val="24"/>
          <w:szCs w:val="24"/>
        </w:rPr>
      </w:pPr>
      <w:r w:rsidRPr="00A874A1">
        <w:rPr>
          <w:rFonts w:ascii="Times New Roman" w:hAnsi="Times New Roman"/>
          <w:b/>
          <w:sz w:val="24"/>
          <w:szCs w:val="24"/>
          <w:highlight w:val="cyan"/>
        </w:rPr>
        <w:t>Elementy pogańskie:</w:t>
      </w:r>
    </w:p>
    <w:p w:rsidR="00A874A1" w:rsidRDefault="00A874A1" w:rsidP="00A874A1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do „uczty kozła” – uroczystości ku czci zmarłych, podczas której częstuje się ich jedzeniem.</w:t>
      </w:r>
    </w:p>
    <w:p w:rsidR="00A874A1" w:rsidRDefault="00A874A1" w:rsidP="00A874A1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Guślarz – przewodnik, który przywołuje zmarłych, łącznik między światem żywych a umarłych.</w:t>
      </w:r>
    </w:p>
    <w:p w:rsidR="00A874A1" w:rsidRDefault="00A874A1" w:rsidP="00A874A1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Przywoływanie duchów za pomocą zaklęć i magicznych czynności – spalenie wódki, kądzieli…</w:t>
      </w:r>
    </w:p>
    <w:p w:rsidR="00A874A1" w:rsidRDefault="00A874A1" w:rsidP="00A874A1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Wiara w to, że dusze mogą wrócić z zaświatów, a żywi mogą im pomóc w pokucie poprzez oferowanie posiłku i napojów.</w:t>
      </w:r>
    </w:p>
    <w:p w:rsidR="00A874A1" w:rsidRPr="0049374B" w:rsidRDefault="00A874A1" w:rsidP="0049374B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Upiór – samobójca, który nie może zaznać spokoju i wraca do świata żywych, wiecznie przezywając swoją tragedię.</w:t>
      </w:r>
    </w:p>
    <w:p w:rsidR="006C0B94" w:rsidRPr="006C0B94" w:rsidRDefault="006C0B94" w:rsidP="006C0B94">
      <w:pPr>
        <w:pStyle w:val="Akapitzlist"/>
        <w:rPr>
          <w:rFonts w:ascii="Times New Roman" w:hAnsi="Times New Roman"/>
          <w:sz w:val="24"/>
          <w:szCs w:val="24"/>
        </w:rPr>
      </w:pPr>
    </w:p>
    <w:p w:rsidR="00A874A1" w:rsidRPr="0049374B" w:rsidRDefault="00A874A1" w:rsidP="00162C8A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49374B">
        <w:rPr>
          <w:rFonts w:ascii="Times New Roman" w:hAnsi="Times New Roman"/>
          <w:b/>
          <w:sz w:val="24"/>
          <w:szCs w:val="24"/>
        </w:rPr>
        <w:t>Motywy literackie, w omówieniu i uzasadnieniu których posłużysz się lekturą „Dziadów cz. II”:</w:t>
      </w:r>
    </w:p>
    <w:p w:rsidR="0049374B" w:rsidRDefault="0049374B" w:rsidP="0049374B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49374B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 i zło</w:t>
      </w:r>
    </w:p>
    <w:p w:rsidR="0049374B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wina i kara</w:t>
      </w:r>
    </w:p>
    <w:p w:rsidR="00A874A1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pełnia człowieczeństwa</w:t>
      </w:r>
    </w:p>
    <w:p w:rsidR="0049374B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cierpienie</w:t>
      </w:r>
    </w:p>
    <w:p w:rsidR="0049374B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nieszczęśliwa miłość</w:t>
      </w:r>
    </w:p>
    <w:p w:rsidR="0049374B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ludowość</w:t>
      </w:r>
    </w:p>
    <w:p w:rsidR="0049374B" w:rsidRDefault="0049374B" w:rsidP="0049374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tajemnica i in.</w:t>
      </w:r>
    </w:p>
    <w:p w:rsidR="0049374B" w:rsidRDefault="0049374B" w:rsidP="0049374B">
      <w:pPr>
        <w:pStyle w:val="Akapitzlist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49374B" w:rsidRDefault="0049374B" w:rsidP="00A874A1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A874A1" w:rsidRPr="0049374B" w:rsidRDefault="0049374B" w:rsidP="00A874A1">
      <w:pPr>
        <w:pStyle w:val="Akapitzlist"/>
        <w:ind w:left="284"/>
        <w:rPr>
          <w:rFonts w:ascii="Times New Roman" w:hAnsi="Times New Roman"/>
          <w:b/>
          <w:color w:val="FF0000"/>
          <w:sz w:val="24"/>
          <w:szCs w:val="24"/>
        </w:rPr>
      </w:pPr>
      <w:r w:rsidRPr="0049374B">
        <w:rPr>
          <w:rFonts w:ascii="Times New Roman" w:hAnsi="Times New Roman"/>
          <w:b/>
          <w:color w:val="FF0000"/>
          <w:sz w:val="24"/>
          <w:szCs w:val="24"/>
        </w:rPr>
        <w:t>UWAGA!</w:t>
      </w:r>
    </w:p>
    <w:p w:rsidR="00060AC0" w:rsidRPr="0049374B" w:rsidRDefault="00162C8A" w:rsidP="00A874A1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  <w:r w:rsidRPr="0049374B">
        <w:rPr>
          <w:rFonts w:ascii="Times New Roman" w:hAnsi="Times New Roman"/>
          <w:color w:val="FF0000"/>
          <w:sz w:val="24"/>
          <w:szCs w:val="24"/>
        </w:rPr>
        <w:t xml:space="preserve">Przygotuj się do testu na wzór egzaminu ósmoklasisty. Test będziemy pisać w środę i będzie on ograniczony czasowo. </w:t>
      </w:r>
    </w:p>
    <w:p w:rsidR="002E7F65" w:rsidRPr="0049374B" w:rsidRDefault="00606D32" w:rsidP="002E7F65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Pozdrawia – p. Zuzanna</w:t>
      </w:r>
    </w:p>
    <w:sectPr w:rsidR="002E7F65" w:rsidRPr="0049374B" w:rsidSect="00593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BB" w:rsidRDefault="00CD0ABB" w:rsidP="002300EA">
      <w:pPr>
        <w:spacing w:after="0" w:line="240" w:lineRule="auto"/>
      </w:pPr>
      <w:r>
        <w:separator/>
      </w:r>
    </w:p>
  </w:endnote>
  <w:endnote w:type="continuationSeparator" w:id="0">
    <w:p w:rsidR="00CD0ABB" w:rsidRDefault="00CD0ABB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BB" w:rsidRDefault="00CD0ABB" w:rsidP="002300EA">
      <w:pPr>
        <w:spacing w:after="0" w:line="240" w:lineRule="auto"/>
      </w:pPr>
      <w:r>
        <w:separator/>
      </w:r>
    </w:p>
  </w:footnote>
  <w:footnote w:type="continuationSeparator" w:id="0">
    <w:p w:rsidR="00CD0ABB" w:rsidRDefault="00CD0ABB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B7C31" w:rsidRDefault="002A7DFB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27</w:t>
              </w:r>
              <w:r w:rsidR="000D6F48">
                <w:rPr>
                  <w:rFonts w:ascii="Constantia" w:hAnsi="Constantia"/>
                  <w:sz w:val="32"/>
                  <w:szCs w:val="32"/>
                </w:rPr>
                <w:t>-28.</w:t>
              </w:r>
              <w:r w:rsidR="00EB1AA7">
                <w:rPr>
                  <w:rFonts w:ascii="Constantia" w:hAnsi="Constantia"/>
                  <w:sz w:val="32"/>
                  <w:szCs w:val="32"/>
                </w:rPr>
                <w:t>04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.2020r.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23048C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</w:t>
              </w:r>
              <w:r w:rsidR="0023048C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060AC0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23048C" w:rsidRDefault="000D6F48">
          <w:pPr>
            <w:pStyle w:val="Nagwek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313"/>
      </v:shape>
    </w:pict>
  </w:numPicBullet>
  <w:abstractNum w:abstractNumId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7A7A"/>
    <w:multiLevelType w:val="hybridMultilevel"/>
    <w:tmpl w:val="26A04D38"/>
    <w:lvl w:ilvl="0" w:tplc="F648BC4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01D1"/>
    <w:multiLevelType w:val="hybridMultilevel"/>
    <w:tmpl w:val="974CE4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65E1B"/>
    <w:multiLevelType w:val="hybridMultilevel"/>
    <w:tmpl w:val="679A2078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8C3A6B"/>
    <w:multiLevelType w:val="hybridMultilevel"/>
    <w:tmpl w:val="ECA65B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4065C4"/>
    <w:multiLevelType w:val="hybridMultilevel"/>
    <w:tmpl w:val="C590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91386"/>
    <w:multiLevelType w:val="hybridMultilevel"/>
    <w:tmpl w:val="DB54BF0E"/>
    <w:lvl w:ilvl="0" w:tplc="EBA816A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00EA"/>
    <w:rsid w:val="00021731"/>
    <w:rsid w:val="00060AC0"/>
    <w:rsid w:val="000C135D"/>
    <w:rsid w:val="000D6F48"/>
    <w:rsid w:val="00124B2E"/>
    <w:rsid w:val="00162C8A"/>
    <w:rsid w:val="001A5B0E"/>
    <w:rsid w:val="001E1ED1"/>
    <w:rsid w:val="002300EA"/>
    <w:rsid w:val="0023048C"/>
    <w:rsid w:val="00272970"/>
    <w:rsid w:val="002761BC"/>
    <w:rsid w:val="002A7DFB"/>
    <w:rsid w:val="002E7F65"/>
    <w:rsid w:val="00312E98"/>
    <w:rsid w:val="00372602"/>
    <w:rsid w:val="0039708D"/>
    <w:rsid w:val="003F1CCB"/>
    <w:rsid w:val="0049374B"/>
    <w:rsid w:val="00495755"/>
    <w:rsid w:val="005676EA"/>
    <w:rsid w:val="00593743"/>
    <w:rsid w:val="005D7788"/>
    <w:rsid w:val="00606D32"/>
    <w:rsid w:val="006A3CA1"/>
    <w:rsid w:val="006C0B94"/>
    <w:rsid w:val="006F026B"/>
    <w:rsid w:val="007A6D40"/>
    <w:rsid w:val="007B3EEF"/>
    <w:rsid w:val="007D4805"/>
    <w:rsid w:val="008A6F4C"/>
    <w:rsid w:val="008D2FC7"/>
    <w:rsid w:val="008F115C"/>
    <w:rsid w:val="009313F0"/>
    <w:rsid w:val="00933752"/>
    <w:rsid w:val="00934543"/>
    <w:rsid w:val="009944BD"/>
    <w:rsid w:val="00A30DDD"/>
    <w:rsid w:val="00A401C0"/>
    <w:rsid w:val="00A874A1"/>
    <w:rsid w:val="00AB7C31"/>
    <w:rsid w:val="00B16D9E"/>
    <w:rsid w:val="00B64BE7"/>
    <w:rsid w:val="00C418B2"/>
    <w:rsid w:val="00C66B78"/>
    <w:rsid w:val="00CD0ABB"/>
    <w:rsid w:val="00D3042E"/>
    <w:rsid w:val="00D70B38"/>
    <w:rsid w:val="00D94CE3"/>
    <w:rsid w:val="00DA437C"/>
    <w:rsid w:val="00E95F99"/>
    <w:rsid w:val="00EB1AA7"/>
    <w:rsid w:val="00EB7C8C"/>
    <w:rsid w:val="00F5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7260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7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EB7A5C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EB7A5C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1012"/>
    <w:rsid w:val="000B38A9"/>
    <w:rsid w:val="0012482E"/>
    <w:rsid w:val="00143C8D"/>
    <w:rsid w:val="00320FDD"/>
    <w:rsid w:val="003769D8"/>
    <w:rsid w:val="007445A3"/>
    <w:rsid w:val="0077563A"/>
    <w:rsid w:val="00831012"/>
    <w:rsid w:val="00B23E42"/>
    <w:rsid w:val="00C537BE"/>
    <w:rsid w:val="00D56996"/>
    <w:rsid w:val="00EB7A5C"/>
    <w:rsid w:val="00E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VII – KSZTAŁCENIE NA ODLEGŁOŚĆ</vt:lpstr>
    </vt:vector>
  </TitlesOfParts>
  <Company>27-28.04.2020r. - Szkoła Podstawowa w Dylągowej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VII – KSZTAŁCENIE NA ODLEGŁOŚĆ</dc:title>
  <dc:creator>Zuzanna</dc:creator>
  <cp:lastModifiedBy>Zuzanna</cp:lastModifiedBy>
  <cp:revision>2</cp:revision>
  <dcterms:created xsi:type="dcterms:W3CDTF">2020-04-26T20:25:00Z</dcterms:created>
  <dcterms:modified xsi:type="dcterms:W3CDTF">2020-04-26T20:25:00Z</dcterms:modified>
</cp:coreProperties>
</file>